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3" w:rsidRPr="00F10610" w:rsidRDefault="00B30E33" w:rsidP="00B30E33">
      <w:pPr>
        <w:rPr>
          <w:b/>
          <w:sz w:val="20"/>
        </w:rPr>
      </w:pPr>
      <w:r w:rsidRPr="00F10610">
        <w:rPr>
          <w:b/>
          <w:sz w:val="20"/>
        </w:rPr>
        <w:t xml:space="preserve">KARTA OCENY WEDŁUG KRYTERIÓW STRATEGICZNYCH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419"/>
        <w:gridCol w:w="2199"/>
        <w:gridCol w:w="2917"/>
      </w:tblGrid>
      <w:tr w:rsidR="00B30E33" w:rsidRPr="00F10610" w:rsidTr="00203023">
        <w:trPr>
          <w:jc w:val="center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F10610">
              <w:rPr>
                <w:rFonts w:ascii="Times New Roman" w:hAnsi="Times New Roman"/>
                <w:b/>
                <w:sz w:val="20"/>
              </w:rPr>
              <w:t>Działanie PROW 2014 – 2020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Zachowania dziedzictwa lokalnego  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Budowy lub przebudowy ogólnodostępnej i niekomercyjnej infrastruktury turystycznej lub rekreacyjnej, lub kulturalnej  </w:t>
            </w: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Tytuł operacji: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Ocena wniosku:</w:t>
            </w:r>
          </w:p>
        </w:tc>
      </w:tr>
      <w:tr w:rsidR="00B30E33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41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B30E33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Partycypacyjne wykorzystanie powstałej infrastruktury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751" w:type="dxa"/>
            <w:shd w:val="clear" w:color="auto" w:fill="auto"/>
          </w:tcPr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Osoby podmioty bezpośrednio  korzystające z  inwestycji 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B30E33" w:rsidRPr="00F10610" w:rsidTr="00203023">
        <w:trPr>
          <w:jc w:val="center"/>
        </w:trPr>
        <w:tc>
          <w:tcPr>
            <w:tcW w:w="4170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B30E33" w:rsidRPr="00F10610" w:rsidRDefault="00B30E33" w:rsidP="00B30E33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B30E33" w:rsidRPr="00F10610" w:rsidRDefault="00B30E33" w:rsidP="00B30E33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965"/>
        <w:gridCol w:w="2109"/>
        <w:gridCol w:w="2396"/>
      </w:tblGrid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470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59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3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Innowacyjność definiowana jako: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- niestandardowe lub proekologiczne rozwiązani konstrukcyjne, technologiczne, architektoniczne (wynika z opisu projektu inwestycji) 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Niedostateczne wykorzystanie walorów krajobrazowych i przyrodniczych, Małe wykorzystanie warunków do wytwarzania energii z odnawialnych źródeł, Zły stan techniczny infrastruktury turystycznej i rekreacyjnej zwłaszcza obiektów zabytkowych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0 pkt. – brak 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1 pkt. – wykazana innowacyjność projektu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2.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Partycypacyjne wykorzystanie powstałej infrastruktury</w:t>
            </w:r>
          </w:p>
        </w:tc>
      </w:tr>
      <w:tr w:rsidR="00B30E33" w:rsidRPr="00F10610" w:rsidTr="00203023">
        <w:tc>
          <w:tcPr>
            <w:tcW w:w="834" w:type="dxa"/>
            <w:vMerge w:val="restart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Współpraca międzysektorowa służąca realizacji celów inwestycji, wykorzystanie potencjału obiektu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Mała aktywność organizacji społecznych (działalność okazjonalna, organiczna do miejscowości,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sąsiedzkiej, kółka zainteresowań)</w:t>
            </w:r>
          </w:p>
        </w:tc>
      </w:tr>
      <w:tr w:rsidR="00B30E33" w:rsidRPr="00F10610" w:rsidTr="00203023">
        <w:tc>
          <w:tcPr>
            <w:tcW w:w="834" w:type="dxa"/>
            <w:vMerge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– brak opisu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pkt. – opis podaje ( z nazwy) partnerów współpracujących przy tworzeniu programu/oferty wykorzystania powstałej infrastruktury 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3.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Osoby podmioty bezpośrednio korzystające z  nowopowstałej infrastruktury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Czy wśród beneficjentów projektu znajdują się: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osoby starsze tj. w wieku emerytalnym?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osoby zagrożone wykluczeniem społecznym zwłaszcza osoby w wieku 50+ ?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dzieci i młodzież?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osoby bezrobotne?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lokalni przedsiębiorcy/producenci?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Wysoka stopa bezrobocia  ze szczególna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lastRenderedPageBreak/>
              <w:t xml:space="preserve">sytuacją na rynku pracy osób w wieku 50+, Przewaga  ludności w wieku poprodukcyjnym w strukturze społecznej, Pogłębiające się ubóstwo rodzin wiejskich, Osłabienie więzi społecznych na skutek coraz silniejszych powiązań mieszkańców z ośrodkami miejskim (miejsce pracy, szkoły na poziomie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ponadgimnazjalnym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>, ośrodki kultury, rozrywki)</w:t>
            </w:r>
          </w:p>
        </w:tc>
      </w:tr>
      <w:tr w:rsidR="00B30E33" w:rsidRPr="00F10610" w:rsidTr="00203023">
        <w:tc>
          <w:tcPr>
            <w:tcW w:w="834" w:type="dxa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Wśród Beneficjentów są: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- osoby starsze tj. w wieku emerytalnym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 - osoby zagrożone wykluczeniem społecznym zwłaszcza osoby w wieku 50+ 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 - dzieci i młodzież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 - osoby bezrobotne</w:t>
            </w:r>
          </w:p>
          <w:p w:rsidR="00B30E33" w:rsidRPr="00F10610" w:rsidRDefault="00B30E33" w:rsidP="00B30E33">
            <w:pPr>
              <w:pStyle w:val="Tekstpodstawowy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 - lokalni przedsiębiorcy/producenci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i/>
                <w:spacing w:val="0"/>
                <w:sz w:val="20"/>
              </w:rPr>
              <w:t>Punkty się sumuje: max można w tym kryterium uzyskać 5 pkt.</w:t>
            </w:r>
          </w:p>
        </w:tc>
      </w:tr>
      <w:tr w:rsidR="00B30E33" w:rsidRPr="00F10610" w:rsidTr="00203023">
        <w:tc>
          <w:tcPr>
            <w:tcW w:w="10196" w:type="dxa"/>
            <w:gridSpan w:val="4"/>
            <w:shd w:val="clear" w:color="auto" w:fill="auto"/>
          </w:tcPr>
          <w:p w:rsidR="00B30E33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Do uzyskania: max 7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/ min 0 pkt.</w:t>
            </w:r>
          </w:p>
          <w:p w:rsidR="00B30E33" w:rsidRPr="00F10610" w:rsidRDefault="00B30E33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</w:tbl>
    <w:p w:rsidR="00B30E33" w:rsidRPr="00F10610" w:rsidRDefault="00B30E33" w:rsidP="00B30E33">
      <w:pPr>
        <w:pStyle w:val="Akapitzlist"/>
        <w:spacing w:after="0" w:line="240" w:lineRule="auto"/>
        <w:jc w:val="right"/>
        <w:rPr>
          <w:i/>
          <w:sz w:val="20"/>
          <w:szCs w:val="20"/>
        </w:rPr>
      </w:pPr>
    </w:p>
    <w:p w:rsidR="00895218" w:rsidRDefault="00895218"/>
    <w:sectPr w:rsidR="00895218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F6"/>
    <w:multiLevelType w:val="hybridMultilevel"/>
    <w:tmpl w:val="09E84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C92"/>
    <w:multiLevelType w:val="hybridMultilevel"/>
    <w:tmpl w:val="ED2C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918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3957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33"/>
    <w:rsid w:val="004A728B"/>
    <w:rsid w:val="00895218"/>
    <w:rsid w:val="00B30E33"/>
    <w:rsid w:val="00B4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33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30E33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E33"/>
    <w:rPr>
      <w:rFonts w:ascii="Garamond" w:eastAsia="Times New Roman" w:hAnsi="Garamond" w:cs="Times New Roman"/>
      <w:spacing w:val="-5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2016-10-06T13:05:00Z</dcterms:created>
  <dcterms:modified xsi:type="dcterms:W3CDTF">2016-10-06T13:05:00Z</dcterms:modified>
</cp:coreProperties>
</file>